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831" w:rsidRPr="006C1831" w:rsidRDefault="006C1831" w:rsidP="006C1831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t>obsah</w:t>
      </w:r>
    </w:p>
    <w:p w:rsidR="006C1831" w:rsidRDefault="006C1831" w:rsidP="006C1831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6C1831" w:rsidRP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6C1831" w:rsidRPr="006C1831" w:rsidRDefault="006C1831" w:rsidP="006C1831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6C1831" w:rsidRP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6C1831" w:rsidRP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6C1831" w:rsidRP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6C1831" w:rsidRP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6C1831" w:rsidRP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6C1831" w:rsidRPr="006C1831" w:rsidRDefault="006C1831" w:rsidP="006C1831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p w:rsidR="001D1F78" w:rsidRDefault="001D1F78"/>
    <w:p w:rsidR="00F75A04" w:rsidRPr="006C1831" w:rsidRDefault="00F75A04" w:rsidP="00F75A04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t>obsah</w:t>
      </w:r>
    </w:p>
    <w:p w:rsidR="00F75A04" w:rsidRDefault="00F75A04" w:rsidP="00F75A04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F75A04" w:rsidRPr="006C1831" w:rsidRDefault="00F75A04" w:rsidP="00F75A04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p w:rsidR="00F75A04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t>obsah</w:t>
      </w:r>
    </w:p>
    <w:p w:rsidR="00F75A04" w:rsidRDefault="00F75A04" w:rsidP="00F75A04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F75A04" w:rsidRPr="006C1831" w:rsidRDefault="00F75A04" w:rsidP="00F75A04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p w:rsidR="00F75A04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t>obsah</w:t>
      </w:r>
    </w:p>
    <w:p w:rsidR="00F75A04" w:rsidRDefault="00F75A04" w:rsidP="00F75A04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F75A04" w:rsidRPr="006C1831" w:rsidRDefault="00F75A04" w:rsidP="00F75A04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p w:rsidR="00F75A04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lastRenderedPageBreak/>
        <w:t>obsah</w:t>
      </w:r>
    </w:p>
    <w:p w:rsidR="00F75A04" w:rsidRDefault="00F75A04" w:rsidP="00F75A04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F75A04" w:rsidRPr="006C1831" w:rsidRDefault="00F75A04" w:rsidP="00F75A04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p w:rsidR="00F75A04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t>obsah</w:t>
      </w:r>
    </w:p>
    <w:p w:rsidR="00F75A04" w:rsidRDefault="00F75A04" w:rsidP="00F75A04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F75A04" w:rsidRPr="006C1831" w:rsidRDefault="00F75A04" w:rsidP="00F75A04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p w:rsidR="00F75A04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t>obsah</w:t>
      </w:r>
    </w:p>
    <w:p w:rsidR="00F75A04" w:rsidRDefault="00F75A04" w:rsidP="00F75A04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F75A04" w:rsidRPr="006C1831" w:rsidRDefault="00F75A04" w:rsidP="00F75A04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p w:rsidR="00F75A04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Bdr>
          <w:bottom w:val="single" w:sz="4" w:space="1" w:color="auto"/>
        </w:pBdr>
        <w:jc w:val="both"/>
        <w:rPr>
          <w:rFonts w:ascii="Century Gothic" w:hAnsi="Century Gothic"/>
          <w:b/>
        </w:rPr>
      </w:pPr>
      <w:r w:rsidRPr="006C1831">
        <w:rPr>
          <w:rFonts w:ascii="Century Gothic" w:hAnsi="Century Gothic"/>
          <w:b/>
        </w:rPr>
        <w:t>obsah</w:t>
      </w:r>
    </w:p>
    <w:p w:rsidR="00F75A04" w:rsidRDefault="00F75A04" w:rsidP="00F75A04">
      <w:pPr>
        <w:pStyle w:val="Zkladntext"/>
        <w:ind w:left="720"/>
        <w:jc w:val="both"/>
        <w:rPr>
          <w:rFonts w:ascii="Century Gothic" w:hAnsi="Century Gothic"/>
          <w:shadow w:val="0"/>
          <w:u w:val="single"/>
        </w:rPr>
      </w:pP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Souhrnný rozpočet</w:t>
      </w:r>
    </w:p>
    <w:p w:rsidR="00F75A04" w:rsidRPr="006C1831" w:rsidRDefault="00F75A04" w:rsidP="00F75A04">
      <w:pPr>
        <w:pStyle w:val="Zkladntext"/>
        <w:ind w:firstLine="708"/>
        <w:jc w:val="both"/>
        <w:rPr>
          <w:rFonts w:ascii="Century Gothic" w:hAnsi="Century Gothic"/>
          <w:shadow w:val="0"/>
          <w:u w:val="single"/>
        </w:rPr>
      </w:pPr>
    </w:p>
    <w:p w:rsidR="00F75A04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Ar</w:t>
      </w:r>
      <w:r>
        <w:rPr>
          <w:rFonts w:ascii="Century Gothic" w:hAnsi="Century Gothic"/>
          <w:shadow w:val="0"/>
          <w:u w:val="single"/>
        </w:rPr>
        <w:t>chitektonicko - stavební řešení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>
        <w:rPr>
          <w:rFonts w:ascii="Century Gothic" w:hAnsi="Century Gothic"/>
          <w:shadow w:val="0"/>
          <w:u w:val="single"/>
        </w:rPr>
        <w:t>Vedlejší rozpočtové náklady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Vytápění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ZTI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Silnoproud, hromosvod</w:t>
      </w:r>
      <w:r w:rsidRPr="006C1831">
        <w:rPr>
          <w:rFonts w:ascii="Century Gothic" w:hAnsi="Century Gothic"/>
          <w:shadow w:val="0"/>
        </w:rPr>
        <w:tab/>
      </w:r>
      <w:r w:rsidRPr="006C1831">
        <w:rPr>
          <w:rFonts w:ascii="Century Gothic" w:hAnsi="Century Gothic"/>
          <w:shadow w:val="0"/>
        </w:rPr>
        <w:tab/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i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Vzduchotechnika a klimatizac</w:t>
      </w:r>
      <w:r>
        <w:rPr>
          <w:rFonts w:ascii="Century Gothic" w:hAnsi="Century Gothic"/>
          <w:shadow w:val="0"/>
          <w:u w:val="single"/>
        </w:rPr>
        <w:t>e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Slaboproudé rozvody</w:t>
      </w:r>
    </w:p>
    <w:p w:rsidR="00F75A04" w:rsidRPr="006C1831" w:rsidRDefault="00F75A04" w:rsidP="00F75A04">
      <w:pPr>
        <w:pStyle w:val="Zkladntext"/>
        <w:numPr>
          <w:ilvl w:val="0"/>
          <w:numId w:val="5"/>
        </w:numPr>
        <w:jc w:val="both"/>
        <w:rPr>
          <w:rFonts w:ascii="Century Gothic" w:hAnsi="Century Gothic"/>
          <w:shadow w:val="0"/>
          <w:u w:val="single"/>
        </w:rPr>
      </w:pPr>
      <w:r w:rsidRPr="006C1831">
        <w:rPr>
          <w:rFonts w:ascii="Century Gothic" w:hAnsi="Century Gothic"/>
          <w:shadow w:val="0"/>
          <w:u w:val="single"/>
        </w:rPr>
        <w:t>Měření a regulace</w:t>
      </w:r>
    </w:p>
    <w:sectPr w:rsidR="00F75A04" w:rsidRPr="006C1831" w:rsidSect="006C1831">
      <w:pgSz w:w="11906" w:h="16838"/>
      <w:pgMar w:top="709" w:right="424" w:bottom="85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F7B66"/>
    <w:multiLevelType w:val="hybridMultilevel"/>
    <w:tmpl w:val="D8F2586E"/>
    <w:lvl w:ilvl="0" w:tplc="451230A2">
      <w:start w:val="1"/>
      <w:numFmt w:val="decimalZero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F2DC90">
      <w:start w:val="1"/>
      <w:numFmt w:val="decimalZero"/>
      <w:lvlText w:val="%4."/>
      <w:lvlJc w:val="righ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F078DB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844F69"/>
    <w:multiLevelType w:val="hybridMultilevel"/>
    <w:tmpl w:val="37E604BA"/>
    <w:lvl w:ilvl="0" w:tplc="2C0C4D7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377817"/>
    <w:multiLevelType w:val="hybridMultilevel"/>
    <w:tmpl w:val="96467638"/>
    <w:lvl w:ilvl="0" w:tplc="2C0C4D7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F3A85"/>
    <w:multiLevelType w:val="hybridMultilevel"/>
    <w:tmpl w:val="3332653E"/>
    <w:lvl w:ilvl="0" w:tplc="6E5E95BE">
      <w:numFmt w:val="bullet"/>
      <w:lvlText w:val="-"/>
      <w:lvlJc w:val="left"/>
      <w:pPr>
        <w:ind w:left="1068" w:hanging="360"/>
      </w:pPr>
      <w:rPr>
        <w:rFonts w:ascii="Century Gothic" w:eastAsia="Times New Roman" w:hAnsi="Century Gothic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BCC0CAD"/>
    <w:multiLevelType w:val="hybridMultilevel"/>
    <w:tmpl w:val="D39228B6"/>
    <w:lvl w:ilvl="0" w:tplc="04050017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1" w:tplc="D148390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Verdana" w:hint="default"/>
      </w:rPr>
    </w:lvl>
    <w:lvl w:ilvl="2" w:tplc="0405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Verdana" w:hint="default"/>
      </w:rPr>
    </w:lvl>
    <w:lvl w:ilvl="5" w:tplc="0405001B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F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Verdana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characterSpacingControl w:val="doNotCompress"/>
  <w:compat/>
  <w:rsids>
    <w:rsidRoot w:val="006C1831"/>
    <w:rsid w:val="000A4236"/>
    <w:rsid w:val="001D1F78"/>
    <w:rsid w:val="006C1831"/>
    <w:rsid w:val="009D4BB5"/>
    <w:rsid w:val="00F75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D1F7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C183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Times New Roman"/>
      <w:shadow/>
      <w:noProof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C1831"/>
    <w:rPr>
      <w:rFonts w:ascii="Tms Rmn" w:eastAsia="Times New Roman" w:hAnsi="Tms Rmn" w:cs="Times New Roman"/>
      <w:shadow/>
      <w:noProof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F75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236</Words>
  <Characters>1394</Characters>
  <Application>Microsoft Office Word</Application>
  <DocSecurity>0</DocSecurity>
  <Lines>11</Lines>
  <Paragraphs>3</Paragraphs>
  <ScaleCrop>false</ScaleCrop>
  <Company>Kvetarch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KA5</dc:creator>
  <cp:keywords/>
  <dc:description/>
  <cp:lastModifiedBy>KA5</cp:lastModifiedBy>
  <cp:revision>3</cp:revision>
  <dcterms:created xsi:type="dcterms:W3CDTF">2016-07-08T11:23:00Z</dcterms:created>
  <dcterms:modified xsi:type="dcterms:W3CDTF">2016-09-01T13:05:00Z</dcterms:modified>
</cp:coreProperties>
</file>